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4B84E" w14:textId="77777777" w:rsidR="00F241EA" w:rsidRDefault="00DB3794" w:rsidP="00E93BDB">
      <w:pPr>
        <w:spacing w:line="240" w:lineRule="auto"/>
        <w:jc w:val="both"/>
        <w:rPr>
          <w:rFonts w:ascii="Times New Roman" w:hAnsi="Times New Roman" w:cs="Times New Roman"/>
          <w:b/>
          <w:bCs/>
          <w:color w:val="000000" w:themeColor="text1"/>
          <w:sz w:val="24"/>
          <w:szCs w:val="24"/>
          <w:lang w:val="sq-AL"/>
        </w:rPr>
      </w:pPr>
      <w:r w:rsidRPr="00415B53">
        <w:rPr>
          <w:rFonts w:ascii="Times New Roman" w:hAnsi="Times New Roman" w:cs="Times New Roman"/>
          <w:b/>
          <w:bCs/>
          <w:color w:val="000000" w:themeColor="text1"/>
          <w:sz w:val="24"/>
          <w:szCs w:val="24"/>
          <w:lang w:val="sq-AL"/>
        </w:rPr>
        <w:t>Si ndërtohet një mit ekonomik në debatin publik shqiptar</w:t>
      </w:r>
    </w:p>
    <w:p w14:paraId="6F58AE3B" w14:textId="77777777" w:rsidR="00333354" w:rsidRDefault="00333354" w:rsidP="00E93BDB">
      <w:pPr>
        <w:spacing w:line="240" w:lineRule="auto"/>
        <w:jc w:val="both"/>
        <w:rPr>
          <w:rFonts w:ascii="Times New Roman" w:hAnsi="Times New Roman" w:cs="Times New Roman"/>
          <w:b/>
          <w:bCs/>
          <w:color w:val="000000" w:themeColor="text1"/>
          <w:sz w:val="24"/>
          <w:szCs w:val="24"/>
          <w:lang w:val="sq-AL"/>
        </w:rPr>
      </w:pPr>
      <w:r>
        <w:rPr>
          <w:rFonts w:ascii="Times New Roman" w:hAnsi="Times New Roman" w:cs="Times New Roman"/>
          <w:b/>
          <w:bCs/>
          <w:color w:val="000000" w:themeColor="text1"/>
          <w:sz w:val="24"/>
          <w:szCs w:val="24"/>
          <w:lang w:val="sq-AL"/>
        </w:rPr>
        <w:t xml:space="preserve">Nga </w:t>
      </w:r>
      <w:r w:rsidRPr="00333354">
        <w:rPr>
          <w:rFonts w:ascii="Times New Roman" w:hAnsi="Times New Roman" w:cs="Times New Roman"/>
          <w:b/>
          <w:bCs/>
          <w:color w:val="000000" w:themeColor="text1"/>
          <w:sz w:val="24"/>
          <w:szCs w:val="24"/>
          <w:lang w:val="sq-AL"/>
        </w:rPr>
        <w:t>Beklie Koltraka</w:t>
      </w:r>
    </w:p>
    <w:p w14:paraId="49F05370" w14:textId="064BC187" w:rsidR="00AA5430" w:rsidRDefault="00333354" w:rsidP="00E93BDB">
      <w:pPr>
        <w:spacing w:line="240" w:lineRule="auto"/>
        <w:jc w:val="both"/>
        <w:rPr>
          <w:rFonts w:ascii="Times New Roman" w:hAnsi="Times New Roman" w:cs="Times New Roman"/>
          <w:b/>
          <w:bCs/>
          <w:color w:val="000000" w:themeColor="text1"/>
          <w:sz w:val="24"/>
          <w:szCs w:val="24"/>
          <w:lang w:val="sq-AL"/>
        </w:rPr>
      </w:pPr>
      <w:r w:rsidRPr="00333354">
        <w:rPr>
          <w:rFonts w:ascii="Times New Roman" w:hAnsi="Times New Roman" w:cs="Times New Roman"/>
          <w:b/>
          <w:bCs/>
          <w:color w:val="000000" w:themeColor="text1"/>
          <w:sz w:val="24"/>
          <w:szCs w:val="24"/>
          <w:lang w:val="sq-AL"/>
        </w:rPr>
        <w:t>Beklie Koltraka</w:t>
      </w:r>
      <w:r w:rsidRPr="00333354">
        <w:rPr>
          <w:rFonts w:ascii="Times New Roman" w:hAnsi="Times New Roman" w:cs="Times New Roman"/>
          <w:b/>
          <w:bCs/>
          <w:color w:val="000000" w:themeColor="text1"/>
          <w:sz w:val="24"/>
          <w:szCs w:val="24"/>
          <w:lang w:val="sq-AL"/>
        </w:rPr>
        <w:t xml:space="preserve"> </w:t>
      </w:r>
      <w:r w:rsidRPr="00333354">
        <w:rPr>
          <w:rFonts w:ascii="Times New Roman" w:hAnsi="Times New Roman" w:cs="Times New Roman"/>
          <w:b/>
          <w:bCs/>
          <w:color w:val="000000" w:themeColor="text1"/>
          <w:sz w:val="24"/>
          <w:szCs w:val="24"/>
          <w:lang w:val="sq-AL"/>
        </w:rPr>
        <w:t>është gazetare dhe profesioniste e medias me përvojë të gjerë në gazetarinë sociale dhe komunitare. Ajo ka punuar në redaksi si Gazeta Express, Pozitivi.org, Abcnews.al, Shqiptarja.com, Newsbomb.al dhe Infinit Plus.</w:t>
      </w:r>
    </w:p>
    <w:p w14:paraId="7B3F73C8" w14:textId="77777777" w:rsidR="00180A01" w:rsidRPr="00180A01" w:rsidRDefault="00180A01" w:rsidP="00E93BDB">
      <w:pPr>
        <w:spacing w:line="240" w:lineRule="auto"/>
        <w:jc w:val="both"/>
        <w:rPr>
          <w:rFonts w:ascii="Times New Roman" w:hAnsi="Times New Roman" w:cs="Times New Roman"/>
          <w:b/>
          <w:bCs/>
          <w:color w:val="000000" w:themeColor="text1"/>
          <w:sz w:val="24"/>
          <w:szCs w:val="24"/>
          <w:lang w:val="sq-AL"/>
        </w:rPr>
      </w:pPr>
    </w:p>
    <w:p w14:paraId="4C49ABA1" w14:textId="77777777" w:rsidR="00415B53" w:rsidRPr="00415B53" w:rsidRDefault="00415B53" w:rsidP="00415B53">
      <w:pPr>
        <w:pStyle w:val="NormalWeb"/>
        <w:shd w:val="clear" w:color="auto" w:fill="FFFFFF"/>
        <w:spacing w:before="0" w:beforeAutospacing="0" w:after="350" w:afterAutospacing="0" w:line="300" w:lineRule="atLeast"/>
        <w:rPr>
          <w:color w:val="000000" w:themeColor="text1"/>
          <w:spacing w:val="-2"/>
          <w:lang w:val="sq-AL"/>
        </w:rPr>
      </w:pPr>
      <w:r w:rsidRPr="00415B53">
        <w:rPr>
          <w:color w:val="000000" w:themeColor="text1"/>
          <w:spacing w:val="-2"/>
          <w:lang w:val="sq-AL"/>
        </w:rPr>
        <w:t>Koncesionet dhe partneriteti publik-privat shpesh paraqiten si një zgjidhje “pa kosto” për buxhetin e shtetit. Ky pretendim, i përsëritur në deklarata politike, i reflektuar nëntituj mediash dhe postime në rrjete sociale, ka krijuar një nga mitet më të përhapura të dezinformimit ekonomik në vend. Ideja se shteti përfiton investime të mëdha pa paguar asgjë, mund të konsiderohet si një nga gënjeshtrat më të dëmshme për opinion publik.</w:t>
      </w:r>
    </w:p>
    <w:p w14:paraId="414A0F96" w14:textId="77777777" w:rsidR="00415B53" w:rsidRPr="00415B53" w:rsidRDefault="00415B53" w:rsidP="00415B53">
      <w:pPr>
        <w:pStyle w:val="NormalWeb"/>
        <w:shd w:val="clear" w:color="auto" w:fill="FFFFFF"/>
        <w:spacing w:before="0" w:beforeAutospacing="0" w:after="350" w:afterAutospacing="0" w:line="300" w:lineRule="atLeast"/>
        <w:rPr>
          <w:color w:val="000000" w:themeColor="text1"/>
          <w:spacing w:val="-2"/>
          <w:lang w:val="sq-AL"/>
        </w:rPr>
      </w:pPr>
      <w:r w:rsidRPr="00415B53">
        <w:rPr>
          <w:color w:val="000000" w:themeColor="text1"/>
          <w:spacing w:val="-2"/>
          <w:lang w:val="sq-AL"/>
        </w:rPr>
        <w:t>Sigurisht që për një publik të mirëinformuar është e qartë se, asnjë kontratë e partneritetit publik-privat nuk është falas. Këto lloj kontratash funksionojnë përmes angazhimeve financiare afatgjata, ku sektori privat kryen investimin fillestar, ndërsa shteti shlyen kostot përmes pagesave periodike, garancive ose tarifave të lidhura me performancën e shërbimit. Pagesat reflektohen në buxhetin e shtetit për vite me radhë dhe ndikojnë drejtpërdrejt në financat publike.</w:t>
      </w:r>
    </w:p>
    <w:p w14:paraId="5144CE00" w14:textId="77777777" w:rsidR="00415B53" w:rsidRPr="00415B53" w:rsidRDefault="00415B53" w:rsidP="00415B53">
      <w:pPr>
        <w:pStyle w:val="NormalWeb"/>
        <w:shd w:val="clear" w:color="auto" w:fill="FFFFFF"/>
        <w:spacing w:before="0" w:beforeAutospacing="0" w:after="350" w:afterAutospacing="0" w:line="300" w:lineRule="atLeast"/>
        <w:rPr>
          <w:color w:val="000000" w:themeColor="text1"/>
          <w:spacing w:val="-2"/>
          <w:lang w:val="sq-AL"/>
        </w:rPr>
      </w:pPr>
      <w:r w:rsidRPr="00415B53">
        <w:rPr>
          <w:color w:val="000000" w:themeColor="text1"/>
          <w:spacing w:val="-2"/>
          <w:lang w:val="sq-AL"/>
        </w:rPr>
        <w:t>Megjithatë, ky realitet shpesh humbet në raportimin mediatik, ku fokusi vendoset vetëm te investimi fillestar privat, duke lënë jashtë vëmendjes angazhimet shumëvjeçare të qeverisë.</w:t>
      </w:r>
    </w:p>
    <w:p w14:paraId="23E49FE2" w14:textId="77777777" w:rsidR="00415B53" w:rsidRPr="00415B53" w:rsidRDefault="00415B53" w:rsidP="00415B53">
      <w:pPr>
        <w:pStyle w:val="NormalWeb"/>
        <w:shd w:val="clear" w:color="auto" w:fill="FFFFFF"/>
        <w:spacing w:before="0" w:beforeAutospacing="0" w:after="350" w:afterAutospacing="0" w:line="300" w:lineRule="atLeast"/>
        <w:rPr>
          <w:color w:val="000000" w:themeColor="text1"/>
          <w:spacing w:val="-2"/>
          <w:lang w:val="sq-AL"/>
        </w:rPr>
      </w:pPr>
      <w:r w:rsidRPr="00415B53">
        <w:rPr>
          <w:color w:val="000000" w:themeColor="text1"/>
          <w:spacing w:val="-2"/>
          <w:lang w:val="sq-AL"/>
        </w:rPr>
        <w:t>Një shembull konkret lidhet me PPP-në në sektorin e shëndetësisë, si sterilizimi i pajisjeve kirurgjikale dhe shërbimet laboratorike. Në momentin e nënshkrimit të kontratave, komunikimi publik u përqendrua te fakti se investimi kryhej nga kompania private, duke lënë të kuptohej se shteti nuk kishte barrë financiare.</w:t>
      </w:r>
    </w:p>
    <w:p w14:paraId="14D66A4F" w14:textId="77777777" w:rsidR="00415B53" w:rsidRPr="00415B53" w:rsidRDefault="00415B53" w:rsidP="00415B53">
      <w:pPr>
        <w:pStyle w:val="NormalWeb"/>
        <w:shd w:val="clear" w:color="auto" w:fill="FFFFFF"/>
        <w:spacing w:before="0" w:beforeAutospacing="0" w:after="350" w:afterAutospacing="0" w:line="300" w:lineRule="atLeast"/>
        <w:rPr>
          <w:color w:val="000000" w:themeColor="text1"/>
          <w:spacing w:val="-2"/>
          <w:lang w:val="sq-AL"/>
        </w:rPr>
      </w:pPr>
      <w:r w:rsidRPr="00415B53">
        <w:rPr>
          <w:color w:val="000000" w:themeColor="text1"/>
          <w:spacing w:val="-2"/>
          <w:lang w:val="sq-AL"/>
        </w:rPr>
        <w:t>Në realitet, buxheti i shtetit paguan çdo vit këste të rregullta për këto shërbime, të cilat, në tërësi, arrijnë në dhjetëra miliona euro përgjatë gjithë kohëzgjatjes së kontratës. Të paraqitura vit pas viti, këto shuma duken të përballueshme, ndërsa kur shuma raportohet si kosto finale, vlera merr një peshë krejt tjetër në syrin e publikut. Pa ofruar këtë kontekst gjatë raportimit, publiku krijon përshtypjen se projekti është “pa kosto”, një perceptim që nuk pasqyron realitetin financiar.</w:t>
      </w:r>
    </w:p>
    <w:p w14:paraId="00B91DF0" w14:textId="77777777" w:rsidR="00415B53" w:rsidRPr="00415B53" w:rsidRDefault="00415B53" w:rsidP="00415B53">
      <w:pPr>
        <w:pStyle w:val="NormalWeb"/>
        <w:shd w:val="clear" w:color="auto" w:fill="FFFFFF"/>
        <w:spacing w:before="0" w:beforeAutospacing="0" w:after="350" w:afterAutospacing="0" w:line="300" w:lineRule="atLeast"/>
        <w:rPr>
          <w:color w:val="000000" w:themeColor="text1"/>
          <w:spacing w:val="-2"/>
          <w:lang w:val="sq-AL"/>
        </w:rPr>
      </w:pPr>
      <w:r w:rsidRPr="00415B53">
        <w:rPr>
          <w:color w:val="000000" w:themeColor="text1"/>
          <w:spacing w:val="-2"/>
          <w:lang w:val="sq-AL"/>
        </w:rPr>
        <w:t>E njëjta logjikë është përdorur edhe në disa projekte infrastrukturore, ku investimi privat është theksuar fort, ndërsa pagesat e garantuara nga shteti për mirëmbajtje dhe shërbim afatgjatë janë përmendur pak ose aspak në komunikimin fillestar. Pavarësisht se raportimi duket korrekt në plan të parë, ky është rasti kur kemi të bëjmë me një informim të mangët që synon të kornizojë realitetin për këto tema në një perspektivë të caktuar.</w:t>
      </w:r>
    </w:p>
    <w:p w14:paraId="240C891A" w14:textId="77777777" w:rsidR="00415B53" w:rsidRPr="00415B53" w:rsidRDefault="00415B53" w:rsidP="00415B53">
      <w:pPr>
        <w:pStyle w:val="NormalWeb"/>
        <w:shd w:val="clear" w:color="auto" w:fill="FFFFFF"/>
        <w:spacing w:before="0" w:beforeAutospacing="0" w:after="350" w:afterAutospacing="0" w:line="300" w:lineRule="atLeast"/>
        <w:rPr>
          <w:color w:val="000000" w:themeColor="text1"/>
          <w:spacing w:val="-2"/>
          <w:lang w:val="sq-AL"/>
        </w:rPr>
      </w:pPr>
      <w:r w:rsidRPr="00415B53">
        <w:rPr>
          <w:color w:val="000000" w:themeColor="text1"/>
          <w:spacing w:val="-2"/>
          <w:lang w:val="sq-AL"/>
        </w:rPr>
        <w:lastRenderedPageBreak/>
        <w:t>Sipas analizave ndërkombëtare, mungesa e pasqyrimit të plotë të këtyre angazhimeve krijon rrezik për keqinformim publik dhe vendimmarrje të gabuar. Organizata për Bashkëpunim dhe Zhvillim Ekonomik  (OECD) e cila përdor termin “fiscal illusion”, si referencë ndaj keqkuptimit nga qytetarët i kostove të vërteta të shërbimeve qeveritare dhe barrës tatimore, thekson se kontratat PPP duhet të pasqyrohen qartë në buxhet për të shmangur iluzionin e projekteve “pa kosto” dhe për të garantuar transparencë reale financiare.</w:t>
      </w:r>
    </w:p>
    <w:p w14:paraId="31FC9C45" w14:textId="77777777" w:rsidR="00415B53" w:rsidRPr="00415B53" w:rsidRDefault="00415B53" w:rsidP="00415B53">
      <w:pPr>
        <w:pStyle w:val="NormalWeb"/>
        <w:shd w:val="clear" w:color="auto" w:fill="FFFFFF"/>
        <w:spacing w:before="0" w:beforeAutospacing="0" w:after="350" w:afterAutospacing="0" w:line="300" w:lineRule="atLeast"/>
        <w:rPr>
          <w:color w:val="000000" w:themeColor="text1"/>
          <w:spacing w:val="-2"/>
          <w:lang w:val="sq-AL"/>
        </w:rPr>
      </w:pPr>
      <w:r w:rsidRPr="00415B53">
        <w:rPr>
          <w:color w:val="000000" w:themeColor="text1"/>
          <w:spacing w:val="-2"/>
          <w:lang w:val="sq-AL"/>
        </w:rPr>
        <w:t>Një pjesë e përgjegjësisë qëndron te mënyra se si media i trajton temat ekonomike. Në shumë raste, titujt theksojnë “investimin privat prej X milionë euro”, pa shpjeguar se sa do të paguajë shteti gjatë gjithë kontratës. Kjo formë raportimi, edhe kur nuk synon të manipulojë, prodhon efekt dezinformues pasi audienca informohet për madhësinë e investimit, por jo për koston reale që do të përballohen nga taksapaguesit.</w:t>
      </w:r>
    </w:p>
    <w:p w14:paraId="4303DE54" w14:textId="77777777" w:rsidR="00415B53" w:rsidRPr="00415B53" w:rsidRDefault="00415B53" w:rsidP="00415B53">
      <w:pPr>
        <w:pStyle w:val="NormalWeb"/>
        <w:shd w:val="clear" w:color="auto" w:fill="FFFFFF"/>
        <w:spacing w:before="0" w:beforeAutospacing="0" w:after="350" w:afterAutospacing="0" w:line="300" w:lineRule="atLeast"/>
        <w:rPr>
          <w:color w:val="000000" w:themeColor="text1"/>
          <w:spacing w:val="-2"/>
          <w:lang w:val="sq-AL"/>
        </w:rPr>
      </w:pPr>
      <w:r w:rsidRPr="00415B53">
        <w:rPr>
          <w:color w:val="000000" w:themeColor="text1"/>
          <w:spacing w:val="-2"/>
          <w:lang w:val="sq-AL"/>
        </w:rPr>
        <w:t>Nga ana tjetër edhe institucionet e tjera ndërkombëtare evidentojnë shpesh faktin se përdorimi i pjesshëm i të dhënave financiare është një nga format më të zakonshme të dezinformimit ekonomik. Në një ekosistem mediatik të orientuar drejt klikimeve, mesazhi i thjeshtuar për temat ekonomikë me interes për qytetarët, përhapet shumë më shpejt sesa një shpjegim i detajuar mbi strukturën financiare të kontratave.</w:t>
      </w:r>
    </w:p>
    <w:p w14:paraId="06751F80" w14:textId="77777777" w:rsidR="00415B53" w:rsidRPr="00415B53" w:rsidRDefault="00415B53" w:rsidP="00415B53">
      <w:pPr>
        <w:pStyle w:val="NormalWeb"/>
        <w:shd w:val="clear" w:color="auto" w:fill="FFFFFF"/>
        <w:spacing w:before="0" w:beforeAutospacing="0" w:after="350" w:afterAutospacing="0" w:line="300" w:lineRule="atLeast"/>
        <w:rPr>
          <w:color w:val="000000" w:themeColor="text1"/>
          <w:spacing w:val="-2"/>
          <w:lang w:val="sq-AL"/>
        </w:rPr>
      </w:pPr>
      <w:r w:rsidRPr="00415B53">
        <w:rPr>
          <w:color w:val="000000" w:themeColor="text1"/>
          <w:spacing w:val="-2"/>
          <w:lang w:val="sq-AL"/>
        </w:rPr>
        <w:t>Sipas udhëzimeve të UNESCO mbi edukimin mediatik dhe informativ, publiku duhet të pajiset me aftësi për të kuptuar informacionin kompleks ekonomik, në mënyrë që të mos bjerë pre e narrativave të thjeshtuara dhe të pa sakta. Por kjo kërkon edhe një media që investon në gazetari ekonomike profesionale dhe institucione që komunikojnë me transparencë.</w:t>
      </w:r>
    </w:p>
    <w:p w14:paraId="5BB7BFFC" w14:textId="77777777" w:rsidR="00415B53" w:rsidRPr="00415B53" w:rsidRDefault="00415B53" w:rsidP="00415B53">
      <w:pPr>
        <w:pStyle w:val="NormalWeb"/>
        <w:shd w:val="clear" w:color="auto" w:fill="FFFFFF"/>
        <w:spacing w:before="0" w:beforeAutospacing="0" w:after="350" w:afterAutospacing="0" w:line="300" w:lineRule="atLeast"/>
        <w:rPr>
          <w:color w:val="000000" w:themeColor="text1"/>
          <w:spacing w:val="-2"/>
          <w:lang w:val="sq-AL"/>
        </w:rPr>
      </w:pPr>
      <w:r w:rsidRPr="00415B53">
        <w:rPr>
          <w:color w:val="000000" w:themeColor="text1"/>
          <w:spacing w:val="-2"/>
          <w:lang w:val="sq-AL"/>
        </w:rPr>
        <w:t>PPP-të nuk janë domosdoshmërisht negative apo pozitive në vetvete. Ato janë instrumente financiare që mund të funksionojnë mirë ose keq, në varësi të mënyrës se si hartohen dhe monitorohen. Por para se të gjykohen, ato duhet të kuptohen saktë.</w:t>
      </w:r>
    </w:p>
    <w:p w14:paraId="334CFC1E" w14:textId="77777777" w:rsidR="00415B53" w:rsidRPr="00415B53" w:rsidRDefault="00415B53" w:rsidP="00415B53">
      <w:pPr>
        <w:pStyle w:val="NormalWeb"/>
        <w:shd w:val="clear" w:color="auto" w:fill="FFFFFF"/>
        <w:spacing w:before="0" w:beforeAutospacing="0" w:after="350" w:afterAutospacing="0" w:line="300" w:lineRule="atLeast"/>
        <w:rPr>
          <w:color w:val="000000" w:themeColor="text1"/>
          <w:spacing w:val="-2"/>
          <w:lang w:val="sq-AL"/>
        </w:rPr>
      </w:pPr>
      <w:r w:rsidRPr="00415B53">
        <w:rPr>
          <w:color w:val="000000" w:themeColor="text1"/>
          <w:spacing w:val="-2"/>
          <w:lang w:val="sq-AL"/>
        </w:rPr>
        <w:t>Pa një shpjegim të plotë të angazhimeve financiare, qytetarët nuk kanë mundësi të kuptojnë se sa paguajnë realisht për këto projekte dhe çfarë marrin në këmbim. Nëse synojmë një debat publik të shëndetshëm dhe të bazuar në fakte, është thelbësore të largohemi nga mitet ekonomike dhe të përqendrohemi te transparenca reale. Vetëm atëherë kontratat e partneritetit publik-privat do të mund të vlerësohen për atë që ofrojnë në të vërtetë dhe jo të raportohet me qëllim keqinformimin apo dezinformimin e audiencave.</w:t>
      </w:r>
    </w:p>
    <w:p w14:paraId="2B70CF03" w14:textId="77777777" w:rsidR="00415B53" w:rsidRPr="00415B53" w:rsidRDefault="00415B53" w:rsidP="00415B53">
      <w:pPr>
        <w:pStyle w:val="NormalWeb"/>
        <w:shd w:val="clear" w:color="auto" w:fill="FFFFFF"/>
        <w:spacing w:before="0" w:beforeAutospacing="0" w:after="350" w:afterAutospacing="0" w:line="300" w:lineRule="atLeast"/>
        <w:rPr>
          <w:color w:val="000000" w:themeColor="text1"/>
          <w:spacing w:val="-2"/>
          <w:lang w:val="sq-AL"/>
        </w:rPr>
      </w:pPr>
      <w:r w:rsidRPr="00415B53">
        <w:rPr>
          <w:color w:val="000000" w:themeColor="text1"/>
          <w:spacing w:val="-2"/>
          <w:lang w:val="sq-AL"/>
        </w:rPr>
        <w:t>*</w:t>
      </w:r>
      <w:r w:rsidRPr="00415B53">
        <w:rPr>
          <w:rStyle w:val="Emphasis"/>
          <w:color w:val="000000" w:themeColor="text1"/>
          <w:spacing w:val="-2"/>
          <w:lang w:val="sq-AL"/>
        </w:rPr>
        <w:t>Ky artikull është prodhuar me mbështetjen e rrjetit SEE Check dhe me financimin e Bashkimit Evropian. Përmbajtja e tij është përgjegjësi e vetme e Albanian Institute for Research (AIR) dhe nuk pasqyron domosdoshmërisht pikëpamjet e Bashkimit Evropian.</w:t>
      </w:r>
    </w:p>
    <w:p w14:paraId="21C25DD7" w14:textId="77777777" w:rsidR="00345317" w:rsidRPr="00415B53" w:rsidRDefault="00345317" w:rsidP="00415B53">
      <w:pPr>
        <w:spacing w:line="240" w:lineRule="auto"/>
        <w:jc w:val="both"/>
        <w:rPr>
          <w:rFonts w:ascii="Times New Roman" w:hAnsi="Times New Roman" w:cs="Times New Roman"/>
          <w:i/>
          <w:color w:val="000000" w:themeColor="text1"/>
          <w:sz w:val="24"/>
          <w:szCs w:val="24"/>
          <w:lang w:val="sq-AL"/>
        </w:rPr>
      </w:pPr>
    </w:p>
    <w:sectPr w:rsidR="00345317" w:rsidRPr="00415B5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76BB" w14:textId="77777777" w:rsidR="009C4016" w:rsidRDefault="009C4016" w:rsidP="009F6958">
      <w:pPr>
        <w:spacing w:after="0" w:line="240" w:lineRule="auto"/>
      </w:pPr>
      <w:r>
        <w:separator/>
      </w:r>
    </w:p>
  </w:endnote>
  <w:endnote w:type="continuationSeparator" w:id="0">
    <w:p w14:paraId="62EDF7EE" w14:textId="77777777" w:rsidR="009C4016" w:rsidRDefault="009C4016" w:rsidP="009F6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F061E" w14:textId="77777777" w:rsidR="009C4016" w:rsidRDefault="009C4016" w:rsidP="009F6958">
      <w:pPr>
        <w:spacing w:after="0" w:line="240" w:lineRule="auto"/>
      </w:pPr>
      <w:r>
        <w:separator/>
      </w:r>
    </w:p>
  </w:footnote>
  <w:footnote w:type="continuationSeparator" w:id="0">
    <w:p w14:paraId="0FE70737" w14:textId="77777777" w:rsidR="009C4016" w:rsidRDefault="009C4016" w:rsidP="009F6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0785863">
    <w:abstractNumId w:val="8"/>
  </w:num>
  <w:num w:numId="2" w16cid:durableId="1636982472">
    <w:abstractNumId w:val="6"/>
  </w:num>
  <w:num w:numId="3" w16cid:durableId="1890531865">
    <w:abstractNumId w:val="5"/>
  </w:num>
  <w:num w:numId="4" w16cid:durableId="532038022">
    <w:abstractNumId w:val="4"/>
  </w:num>
  <w:num w:numId="5" w16cid:durableId="1361202229">
    <w:abstractNumId w:val="7"/>
  </w:num>
  <w:num w:numId="6" w16cid:durableId="1452476471">
    <w:abstractNumId w:val="3"/>
  </w:num>
  <w:num w:numId="7" w16cid:durableId="980304878">
    <w:abstractNumId w:val="2"/>
  </w:num>
  <w:num w:numId="8" w16cid:durableId="1423138994">
    <w:abstractNumId w:val="1"/>
  </w:num>
  <w:num w:numId="9" w16cid:durableId="26295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AE9"/>
    <w:rsid w:val="00026BC9"/>
    <w:rsid w:val="00034616"/>
    <w:rsid w:val="000448CA"/>
    <w:rsid w:val="00045894"/>
    <w:rsid w:val="000545B9"/>
    <w:rsid w:val="0006063C"/>
    <w:rsid w:val="00077A7D"/>
    <w:rsid w:val="000A4281"/>
    <w:rsid w:val="000C035E"/>
    <w:rsid w:val="000C3AC8"/>
    <w:rsid w:val="000D776F"/>
    <w:rsid w:val="000E0607"/>
    <w:rsid w:val="000E7A51"/>
    <w:rsid w:val="000F2960"/>
    <w:rsid w:val="000F61BB"/>
    <w:rsid w:val="0010570A"/>
    <w:rsid w:val="00106F84"/>
    <w:rsid w:val="00143D15"/>
    <w:rsid w:val="0015074B"/>
    <w:rsid w:val="001540CD"/>
    <w:rsid w:val="0016388A"/>
    <w:rsid w:val="00171B91"/>
    <w:rsid w:val="00180A01"/>
    <w:rsid w:val="001877EE"/>
    <w:rsid w:val="001B5ED1"/>
    <w:rsid w:val="001C0526"/>
    <w:rsid w:val="001C1AFB"/>
    <w:rsid w:val="001F5220"/>
    <w:rsid w:val="00237CBB"/>
    <w:rsid w:val="002449FD"/>
    <w:rsid w:val="00252BA4"/>
    <w:rsid w:val="002757BD"/>
    <w:rsid w:val="0029639D"/>
    <w:rsid w:val="002C4D98"/>
    <w:rsid w:val="002F5462"/>
    <w:rsid w:val="00317740"/>
    <w:rsid w:val="00326F90"/>
    <w:rsid w:val="00331C6F"/>
    <w:rsid w:val="00333354"/>
    <w:rsid w:val="003365C6"/>
    <w:rsid w:val="00345317"/>
    <w:rsid w:val="0036251E"/>
    <w:rsid w:val="00371C51"/>
    <w:rsid w:val="00373765"/>
    <w:rsid w:val="00375178"/>
    <w:rsid w:val="0038790B"/>
    <w:rsid w:val="00391FCB"/>
    <w:rsid w:val="003C6C74"/>
    <w:rsid w:val="003F7472"/>
    <w:rsid w:val="00411A44"/>
    <w:rsid w:val="00413524"/>
    <w:rsid w:val="00415B53"/>
    <w:rsid w:val="00431734"/>
    <w:rsid w:val="00435B2F"/>
    <w:rsid w:val="0045609A"/>
    <w:rsid w:val="0047318C"/>
    <w:rsid w:val="00473ABE"/>
    <w:rsid w:val="00487A6F"/>
    <w:rsid w:val="00494454"/>
    <w:rsid w:val="0049598D"/>
    <w:rsid w:val="00496613"/>
    <w:rsid w:val="004C2874"/>
    <w:rsid w:val="004E0DF2"/>
    <w:rsid w:val="004F5B74"/>
    <w:rsid w:val="004F624E"/>
    <w:rsid w:val="005115FC"/>
    <w:rsid w:val="00521F2B"/>
    <w:rsid w:val="00533A04"/>
    <w:rsid w:val="005422A4"/>
    <w:rsid w:val="005830B2"/>
    <w:rsid w:val="0059694A"/>
    <w:rsid w:val="005A6171"/>
    <w:rsid w:val="005D0129"/>
    <w:rsid w:val="005F12A8"/>
    <w:rsid w:val="00602CFF"/>
    <w:rsid w:val="00631C61"/>
    <w:rsid w:val="0065051E"/>
    <w:rsid w:val="00650B3F"/>
    <w:rsid w:val="00655AE6"/>
    <w:rsid w:val="00656CDF"/>
    <w:rsid w:val="00666731"/>
    <w:rsid w:val="006678D6"/>
    <w:rsid w:val="00675332"/>
    <w:rsid w:val="00680B2A"/>
    <w:rsid w:val="00695955"/>
    <w:rsid w:val="006B2C50"/>
    <w:rsid w:val="006D4AE9"/>
    <w:rsid w:val="006E441E"/>
    <w:rsid w:val="007019BA"/>
    <w:rsid w:val="00710A5A"/>
    <w:rsid w:val="007126E8"/>
    <w:rsid w:val="0072746A"/>
    <w:rsid w:val="0073598C"/>
    <w:rsid w:val="0077120E"/>
    <w:rsid w:val="00794B67"/>
    <w:rsid w:val="00795D90"/>
    <w:rsid w:val="007B6689"/>
    <w:rsid w:val="007E00C0"/>
    <w:rsid w:val="007E0F72"/>
    <w:rsid w:val="007E19E6"/>
    <w:rsid w:val="007E1B2F"/>
    <w:rsid w:val="007F456B"/>
    <w:rsid w:val="008120B2"/>
    <w:rsid w:val="008170F7"/>
    <w:rsid w:val="00830A0B"/>
    <w:rsid w:val="00896C88"/>
    <w:rsid w:val="008D190D"/>
    <w:rsid w:val="008E349F"/>
    <w:rsid w:val="008F3206"/>
    <w:rsid w:val="00910381"/>
    <w:rsid w:val="009206AB"/>
    <w:rsid w:val="009271A8"/>
    <w:rsid w:val="0095271D"/>
    <w:rsid w:val="009738B2"/>
    <w:rsid w:val="009C4016"/>
    <w:rsid w:val="009C5D12"/>
    <w:rsid w:val="009F6958"/>
    <w:rsid w:val="00A13EAE"/>
    <w:rsid w:val="00A765EC"/>
    <w:rsid w:val="00A83D6B"/>
    <w:rsid w:val="00A878F0"/>
    <w:rsid w:val="00AA1D8D"/>
    <w:rsid w:val="00AA5430"/>
    <w:rsid w:val="00AE2D4E"/>
    <w:rsid w:val="00B0503C"/>
    <w:rsid w:val="00B32E41"/>
    <w:rsid w:val="00B370BE"/>
    <w:rsid w:val="00B47730"/>
    <w:rsid w:val="00B57C38"/>
    <w:rsid w:val="00B8195D"/>
    <w:rsid w:val="00B94555"/>
    <w:rsid w:val="00BA38F3"/>
    <w:rsid w:val="00BB35A1"/>
    <w:rsid w:val="00BD6446"/>
    <w:rsid w:val="00BD67C8"/>
    <w:rsid w:val="00BE4E0F"/>
    <w:rsid w:val="00BE6E7B"/>
    <w:rsid w:val="00C03142"/>
    <w:rsid w:val="00C0646A"/>
    <w:rsid w:val="00C221A3"/>
    <w:rsid w:val="00C26376"/>
    <w:rsid w:val="00C448FF"/>
    <w:rsid w:val="00C572BB"/>
    <w:rsid w:val="00C60D0E"/>
    <w:rsid w:val="00C70510"/>
    <w:rsid w:val="00C767C9"/>
    <w:rsid w:val="00C82397"/>
    <w:rsid w:val="00C874D6"/>
    <w:rsid w:val="00C94F18"/>
    <w:rsid w:val="00CB0664"/>
    <w:rsid w:val="00CC2ABF"/>
    <w:rsid w:val="00CC68BD"/>
    <w:rsid w:val="00CC73CE"/>
    <w:rsid w:val="00CE6522"/>
    <w:rsid w:val="00D018AF"/>
    <w:rsid w:val="00D034D4"/>
    <w:rsid w:val="00D048C4"/>
    <w:rsid w:val="00D06CEA"/>
    <w:rsid w:val="00D42FC0"/>
    <w:rsid w:val="00D44473"/>
    <w:rsid w:val="00D74330"/>
    <w:rsid w:val="00D83F01"/>
    <w:rsid w:val="00D90CF5"/>
    <w:rsid w:val="00DB0E74"/>
    <w:rsid w:val="00DB21E9"/>
    <w:rsid w:val="00DB3794"/>
    <w:rsid w:val="00DD64C2"/>
    <w:rsid w:val="00DF4B15"/>
    <w:rsid w:val="00E54272"/>
    <w:rsid w:val="00E54C72"/>
    <w:rsid w:val="00E5700B"/>
    <w:rsid w:val="00E74257"/>
    <w:rsid w:val="00E7470E"/>
    <w:rsid w:val="00E93BDB"/>
    <w:rsid w:val="00EA1B26"/>
    <w:rsid w:val="00EC0BF9"/>
    <w:rsid w:val="00EC25D5"/>
    <w:rsid w:val="00EC3708"/>
    <w:rsid w:val="00F07357"/>
    <w:rsid w:val="00F12FE9"/>
    <w:rsid w:val="00F241EA"/>
    <w:rsid w:val="00F47C68"/>
    <w:rsid w:val="00F5300B"/>
    <w:rsid w:val="00F552F3"/>
    <w:rsid w:val="00F909CE"/>
    <w:rsid w:val="00F937D7"/>
    <w:rsid w:val="00F93FC7"/>
    <w:rsid w:val="00F94C7D"/>
    <w:rsid w:val="00FC693F"/>
    <w:rsid w:val="00FC75B4"/>
    <w:rsid w:val="00FD5279"/>
    <w:rsid w:val="00FF2DD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604AE1"/>
  <w15:docId w15:val="{60ACB393-D2EE-4FC3-B6B2-95D7AC34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F552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5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3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870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D2B9A-670B-43DE-BD0F-0BEBDC1A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Besa Ombashi - Albanian Institutes for Research</cp:lastModifiedBy>
  <cp:revision>10</cp:revision>
  <dcterms:created xsi:type="dcterms:W3CDTF">2026-02-11T16:38:00Z</dcterms:created>
  <dcterms:modified xsi:type="dcterms:W3CDTF">2026-02-13T12:24:00Z</dcterms:modified>
  <cp:category/>
</cp:coreProperties>
</file>